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983A6" w14:textId="29EE6653" w:rsidR="003A0D07" w:rsidRPr="005271F6" w:rsidRDefault="00A46438" w:rsidP="000542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/>
        <w:rPr>
          <w:rFonts w:ascii="Arial" w:hAnsi="Arial"/>
          <w:b/>
          <w:sz w:val="40"/>
          <w:szCs w:val="40"/>
          <w:lang w:val="en-US"/>
        </w:rPr>
      </w:pPr>
      <w:r w:rsidRPr="005271F6">
        <w:rPr>
          <w:rFonts w:ascii="Arial" w:hAnsi="Arial"/>
          <w:b/>
          <w:sz w:val="40"/>
          <w:szCs w:val="40"/>
          <w:lang w:val="en-US"/>
        </w:rPr>
        <w:t xml:space="preserve">NewcastleGateshead </w:t>
      </w:r>
      <w:r w:rsidR="00611F9C" w:rsidRPr="005271F6">
        <w:rPr>
          <w:rFonts w:ascii="Arial" w:hAnsi="Arial"/>
          <w:b/>
          <w:sz w:val="40"/>
          <w:szCs w:val="40"/>
          <w:lang w:val="en-US"/>
        </w:rPr>
        <w:t>visitor guide with map</w:t>
      </w:r>
    </w:p>
    <w:p w14:paraId="781EA9ED" w14:textId="44761A0C" w:rsidR="009B50C7" w:rsidRPr="006C1292" w:rsidRDefault="006C1292" w:rsidP="000542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/>
        <w:rPr>
          <w:rFonts w:ascii="Arial" w:hAnsi="Arial"/>
          <w:b/>
          <w:lang w:val="en-US"/>
        </w:rPr>
      </w:pPr>
      <w:r w:rsidRPr="006C1292">
        <w:rPr>
          <w:rFonts w:ascii="Arial" w:hAnsi="Arial"/>
          <w:b/>
          <w:lang w:val="en-US"/>
        </w:rPr>
        <w:t xml:space="preserve"> </w:t>
      </w:r>
    </w:p>
    <w:tbl>
      <w:tblPr>
        <w:tblW w:w="9950" w:type="dxa"/>
        <w:tblInd w:w="-10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211"/>
        <w:gridCol w:w="1559"/>
        <w:gridCol w:w="1559"/>
        <w:gridCol w:w="1559"/>
        <w:gridCol w:w="1560"/>
      </w:tblGrid>
      <w:tr w:rsidR="00EB2D1D" w:rsidRPr="005271F6" w14:paraId="38D52EF2" w14:textId="77777777" w:rsidTr="00EB2D1D">
        <w:trPr>
          <w:trHeight w:val="563"/>
        </w:trPr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2C5C01" w14:textId="0E4AFC9E" w:rsidR="00EB2D1D" w:rsidRPr="005271F6" w:rsidRDefault="00EB2D1D" w:rsidP="00EB2D1D">
            <w:pPr>
              <w:spacing w:before="60" w:after="60"/>
              <w:rPr>
                <w:rFonts w:ascii="Arial" w:hAnsi="Arial"/>
                <w:sz w:val="20"/>
                <w:szCs w:val="20"/>
                <w:lang w:val="en-US"/>
              </w:rPr>
            </w:pPr>
            <w:r w:rsidRPr="00EB2D1D">
              <w:rPr>
                <w:rFonts w:ascii="Arial" w:hAnsi="Arial"/>
                <w:sz w:val="20"/>
                <w:szCs w:val="20"/>
                <w:lang w:val="en-US"/>
              </w:rPr>
              <w:t>I would like to book the following: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4D25F2B" w14:textId="77777777" w:rsidR="00EB2D1D" w:rsidRPr="005271F6" w:rsidRDefault="00EB2D1D" w:rsidP="002C4209">
            <w:pPr>
              <w:widowControl w:val="0"/>
              <w:tabs>
                <w:tab w:val="left" w:pos="567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271F6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en-US"/>
              </w:rPr>
              <w:t xml:space="preserve">Gold partner cost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599AF11" w14:textId="77777777" w:rsidR="00EB2D1D" w:rsidRPr="005271F6" w:rsidRDefault="00EB2D1D" w:rsidP="002C4209">
            <w:pPr>
              <w:widowControl w:val="0"/>
              <w:tabs>
                <w:tab w:val="left" w:pos="567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271F6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en-US"/>
              </w:rPr>
              <w:t>Silver partner cost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3DDECBA" w14:textId="77777777" w:rsidR="00EB2D1D" w:rsidRPr="005271F6" w:rsidRDefault="00EB2D1D" w:rsidP="002C4209">
            <w:pPr>
              <w:widowControl w:val="0"/>
              <w:tabs>
                <w:tab w:val="left" w:pos="567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271F6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en-US"/>
              </w:rPr>
              <w:t>Bronze partner cost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33CF7556" w14:textId="77777777" w:rsidR="00EB2D1D" w:rsidRPr="005271F6" w:rsidRDefault="00EB2D1D" w:rsidP="002C4209">
            <w:pPr>
              <w:widowControl w:val="0"/>
              <w:tabs>
                <w:tab w:val="left" w:pos="567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271F6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en-US"/>
              </w:rPr>
              <w:t>Non-partner cost</w:t>
            </w:r>
          </w:p>
        </w:tc>
      </w:tr>
      <w:tr w:rsidR="002E6D38" w:rsidRPr="005271F6" w14:paraId="7F8B1456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6D76C" w14:textId="77777777" w:rsidR="002E6D38" w:rsidRPr="005271F6" w:rsidRDefault="002E6D38" w:rsidP="002E6D3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3211" w:type="dxa"/>
          </w:tcPr>
          <w:p w14:paraId="7E249876" w14:textId="06AECC8C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Back-page advert (A5)</w:t>
            </w:r>
          </w:p>
          <w:p w14:paraId="17EF910E" w14:textId="590AD949" w:rsidR="002E6D38" w:rsidRPr="005271F6" w:rsidRDefault="005271F6" w:rsidP="002E6D3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Jul 20 – Oct 20</w:t>
            </w:r>
            <w:r w:rsidR="002E6D38" w:rsidRPr="005271F6">
              <w:rPr>
                <w:rFonts w:ascii="Arial" w:hAnsi="Arial" w:cs="Arial"/>
                <w:sz w:val="16"/>
                <w:szCs w:val="16"/>
              </w:rPr>
              <w:t xml:space="preserve"> edition</w:t>
            </w:r>
          </w:p>
        </w:tc>
        <w:tc>
          <w:tcPr>
            <w:tcW w:w="1559" w:type="dxa"/>
          </w:tcPr>
          <w:p w14:paraId="5C9C804E" w14:textId="200A4E5D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£1,350</w:t>
            </w:r>
          </w:p>
        </w:tc>
        <w:tc>
          <w:tcPr>
            <w:tcW w:w="1559" w:type="dxa"/>
          </w:tcPr>
          <w:p w14:paraId="7AF30F57" w14:textId="61802486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£1,463</w:t>
            </w:r>
          </w:p>
        </w:tc>
        <w:tc>
          <w:tcPr>
            <w:tcW w:w="1559" w:type="dxa"/>
          </w:tcPr>
          <w:p w14:paraId="59A08918" w14:textId="5DCF37A9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£1,575</w:t>
            </w:r>
          </w:p>
        </w:tc>
        <w:tc>
          <w:tcPr>
            <w:tcW w:w="1560" w:type="dxa"/>
          </w:tcPr>
          <w:p w14:paraId="7EB84DBC" w14:textId="4F3FD3D9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£2,250</w:t>
            </w:r>
          </w:p>
        </w:tc>
      </w:tr>
      <w:tr w:rsidR="002E6D38" w:rsidRPr="005271F6" w14:paraId="34E27E1A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E4D8B2" w14:textId="5145AFF0" w:rsidR="002E6D38" w:rsidRPr="005271F6" w:rsidRDefault="002E6D38" w:rsidP="002E6D3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1" w:type="dxa"/>
          </w:tcPr>
          <w:p w14:paraId="335E0AD6" w14:textId="77777777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A5 advert</w:t>
            </w:r>
          </w:p>
          <w:p w14:paraId="4259DEBC" w14:textId="60274D24" w:rsidR="002E6D38" w:rsidRPr="005271F6" w:rsidRDefault="005271F6" w:rsidP="002E6D38">
            <w:pPr>
              <w:rPr>
                <w:rFonts w:ascii="Arial" w:hAnsi="Arial" w:cs="Arial"/>
                <w:sz w:val="16"/>
                <w:szCs w:val="16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Jul 20 – Oct 20 edition</w:t>
            </w:r>
          </w:p>
        </w:tc>
        <w:tc>
          <w:tcPr>
            <w:tcW w:w="1559" w:type="dxa"/>
          </w:tcPr>
          <w:p w14:paraId="0CC2A35F" w14:textId="5EAF0512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£1,200</w:t>
            </w:r>
          </w:p>
        </w:tc>
        <w:tc>
          <w:tcPr>
            <w:tcW w:w="1559" w:type="dxa"/>
          </w:tcPr>
          <w:p w14:paraId="22023B85" w14:textId="7B626A30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£1,300</w:t>
            </w:r>
          </w:p>
        </w:tc>
        <w:tc>
          <w:tcPr>
            <w:tcW w:w="1559" w:type="dxa"/>
          </w:tcPr>
          <w:p w14:paraId="4AB22625" w14:textId="0990ADCD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£1,400</w:t>
            </w:r>
          </w:p>
        </w:tc>
        <w:tc>
          <w:tcPr>
            <w:tcW w:w="1560" w:type="dxa"/>
          </w:tcPr>
          <w:p w14:paraId="2F6E4890" w14:textId="0E68366A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£2,000</w:t>
            </w:r>
          </w:p>
        </w:tc>
      </w:tr>
      <w:tr w:rsidR="005271F6" w:rsidRPr="005271F6" w14:paraId="5BCEC417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982EF1" w14:textId="77777777" w:rsidR="005271F6" w:rsidRPr="005271F6" w:rsidRDefault="005271F6" w:rsidP="005271F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1" w:type="dxa"/>
          </w:tcPr>
          <w:p w14:paraId="1046958D" w14:textId="77777777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Strip advert</w:t>
            </w:r>
          </w:p>
          <w:p w14:paraId="5AFCEC51" w14:textId="3B549840" w:rsidR="005271F6" w:rsidRPr="005271F6" w:rsidRDefault="005271F6" w:rsidP="005271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Jul 20 – Oct 20 edition</w:t>
            </w:r>
          </w:p>
        </w:tc>
        <w:tc>
          <w:tcPr>
            <w:tcW w:w="1559" w:type="dxa"/>
          </w:tcPr>
          <w:p w14:paraId="3402CEFF" w14:textId="5908289C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£402</w:t>
            </w:r>
          </w:p>
        </w:tc>
        <w:tc>
          <w:tcPr>
            <w:tcW w:w="1559" w:type="dxa"/>
          </w:tcPr>
          <w:p w14:paraId="6ACBD1DE" w14:textId="21445A2E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£436</w:t>
            </w:r>
          </w:p>
        </w:tc>
        <w:tc>
          <w:tcPr>
            <w:tcW w:w="1559" w:type="dxa"/>
          </w:tcPr>
          <w:p w14:paraId="283F2B8F" w14:textId="18122041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£469</w:t>
            </w:r>
          </w:p>
        </w:tc>
        <w:tc>
          <w:tcPr>
            <w:tcW w:w="1560" w:type="dxa"/>
          </w:tcPr>
          <w:p w14:paraId="1A76D4CF" w14:textId="70FD7853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£670</w:t>
            </w:r>
          </w:p>
        </w:tc>
      </w:tr>
      <w:tr w:rsidR="002E6D38" w:rsidRPr="005271F6" w14:paraId="40B1C9DB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59DB8" w14:textId="77777777" w:rsidR="002E6D38" w:rsidRPr="005271F6" w:rsidRDefault="002E6D38" w:rsidP="002E6D3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1" w:type="dxa"/>
          </w:tcPr>
          <w:p w14:paraId="10202602" w14:textId="77777777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Enhanced listing</w:t>
            </w:r>
          </w:p>
          <w:p w14:paraId="57C05CE1" w14:textId="5B3D6BFF" w:rsidR="002E6D38" w:rsidRPr="005271F6" w:rsidRDefault="005271F6" w:rsidP="002E6D3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Jul 20 – Oct 20 edition</w:t>
            </w:r>
          </w:p>
        </w:tc>
        <w:tc>
          <w:tcPr>
            <w:tcW w:w="1559" w:type="dxa"/>
          </w:tcPr>
          <w:p w14:paraId="09B8170E" w14:textId="20CB8269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£192</w:t>
            </w:r>
          </w:p>
        </w:tc>
        <w:tc>
          <w:tcPr>
            <w:tcW w:w="1559" w:type="dxa"/>
          </w:tcPr>
          <w:p w14:paraId="76593C77" w14:textId="29FDE734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£208</w:t>
            </w:r>
          </w:p>
        </w:tc>
        <w:tc>
          <w:tcPr>
            <w:tcW w:w="1559" w:type="dxa"/>
          </w:tcPr>
          <w:p w14:paraId="58718CE7" w14:textId="42E398C6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£224</w:t>
            </w:r>
          </w:p>
        </w:tc>
        <w:tc>
          <w:tcPr>
            <w:tcW w:w="1560" w:type="dxa"/>
          </w:tcPr>
          <w:p w14:paraId="17375482" w14:textId="3F3649DE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£320</w:t>
            </w:r>
          </w:p>
        </w:tc>
      </w:tr>
      <w:tr w:rsidR="002E6D38" w:rsidRPr="005271F6" w14:paraId="0C79514A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F9C844" w14:textId="46FCA16E" w:rsidR="002E6D38" w:rsidRPr="005271F6" w:rsidRDefault="002E6D38" w:rsidP="002E6D3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1" w:type="dxa"/>
          </w:tcPr>
          <w:p w14:paraId="79A0C571" w14:textId="77777777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Back-page advert (A5)</w:t>
            </w:r>
          </w:p>
          <w:p w14:paraId="7E84D5C1" w14:textId="42D9650C" w:rsidR="002E6D38" w:rsidRPr="005271F6" w:rsidRDefault="005271F6" w:rsidP="002E6D38">
            <w:pPr>
              <w:rPr>
                <w:rFonts w:ascii="Arial" w:hAnsi="Arial" w:cs="Arial"/>
                <w:sz w:val="16"/>
                <w:szCs w:val="16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Nov 20 – Feb 21</w:t>
            </w:r>
            <w:r w:rsidR="002E6D38" w:rsidRPr="005271F6">
              <w:rPr>
                <w:rFonts w:ascii="Arial" w:hAnsi="Arial" w:cs="Arial"/>
                <w:sz w:val="16"/>
                <w:szCs w:val="16"/>
              </w:rPr>
              <w:t xml:space="preserve"> edition</w:t>
            </w:r>
          </w:p>
        </w:tc>
        <w:tc>
          <w:tcPr>
            <w:tcW w:w="1559" w:type="dxa"/>
          </w:tcPr>
          <w:p w14:paraId="49095376" w14:textId="7426899C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£1,350</w:t>
            </w:r>
          </w:p>
        </w:tc>
        <w:tc>
          <w:tcPr>
            <w:tcW w:w="1559" w:type="dxa"/>
          </w:tcPr>
          <w:p w14:paraId="05D3A392" w14:textId="3876866F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£1,463</w:t>
            </w:r>
          </w:p>
        </w:tc>
        <w:tc>
          <w:tcPr>
            <w:tcW w:w="1559" w:type="dxa"/>
          </w:tcPr>
          <w:p w14:paraId="2336D961" w14:textId="224BA02B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£1,575</w:t>
            </w:r>
          </w:p>
        </w:tc>
        <w:tc>
          <w:tcPr>
            <w:tcW w:w="1560" w:type="dxa"/>
          </w:tcPr>
          <w:p w14:paraId="0A3E20B4" w14:textId="6E705A4F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£2,250</w:t>
            </w:r>
          </w:p>
        </w:tc>
      </w:tr>
      <w:tr w:rsidR="002E6D38" w:rsidRPr="005271F6" w14:paraId="3E24B59E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B4B34A" w14:textId="1CA20BD7" w:rsidR="002E6D38" w:rsidRPr="005271F6" w:rsidRDefault="002E6D38" w:rsidP="002E6D3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1" w:type="dxa"/>
          </w:tcPr>
          <w:p w14:paraId="6BDE5DA2" w14:textId="77777777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A5 advert</w:t>
            </w:r>
          </w:p>
          <w:p w14:paraId="3F4EF5D9" w14:textId="1FE39485" w:rsidR="002E6D38" w:rsidRPr="005271F6" w:rsidRDefault="005271F6" w:rsidP="002E6D38">
            <w:pPr>
              <w:rPr>
                <w:rFonts w:ascii="Arial" w:hAnsi="Arial" w:cs="Arial"/>
                <w:sz w:val="16"/>
                <w:szCs w:val="16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Nov 20 – Feb 21 edition</w:t>
            </w:r>
          </w:p>
        </w:tc>
        <w:tc>
          <w:tcPr>
            <w:tcW w:w="1559" w:type="dxa"/>
          </w:tcPr>
          <w:p w14:paraId="533A691C" w14:textId="67456B27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£1,200</w:t>
            </w:r>
          </w:p>
        </w:tc>
        <w:tc>
          <w:tcPr>
            <w:tcW w:w="1559" w:type="dxa"/>
          </w:tcPr>
          <w:p w14:paraId="02DF4ADD" w14:textId="6D2CAB14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£1,300</w:t>
            </w:r>
          </w:p>
        </w:tc>
        <w:tc>
          <w:tcPr>
            <w:tcW w:w="1559" w:type="dxa"/>
          </w:tcPr>
          <w:p w14:paraId="4B47C525" w14:textId="65AC1E64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£1,400</w:t>
            </w:r>
          </w:p>
        </w:tc>
        <w:tc>
          <w:tcPr>
            <w:tcW w:w="1560" w:type="dxa"/>
          </w:tcPr>
          <w:p w14:paraId="1B62F383" w14:textId="1716D38C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£2,000</w:t>
            </w:r>
          </w:p>
        </w:tc>
      </w:tr>
      <w:tr w:rsidR="005271F6" w:rsidRPr="005271F6" w14:paraId="4423057E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03CFF" w14:textId="64C9E0E2" w:rsidR="005271F6" w:rsidRPr="005271F6" w:rsidRDefault="005271F6" w:rsidP="005271F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1" w:type="dxa"/>
          </w:tcPr>
          <w:p w14:paraId="22077DB5" w14:textId="77777777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Strip advert</w:t>
            </w:r>
          </w:p>
          <w:p w14:paraId="0610AE66" w14:textId="4AD2EC68" w:rsidR="005271F6" w:rsidRPr="005271F6" w:rsidRDefault="005271F6" w:rsidP="005271F6">
            <w:pPr>
              <w:rPr>
                <w:rFonts w:ascii="Arial" w:hAnsi="Arial" w:cs="Arial"/>
                <w:sz w:val="16"/>
                <w:szCs w:val="16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Nov 20 – Feb 21 edition</w:t>
            </w:r>
          </w:p>
        </w:tc>
        <w:tc>
          <w:tcPr>
            <w:tcW w:w="1559" w:type="dxa"/>
          </w:tcPr>
          <w:p w14:paraId="48FF3587" w14:textId="4945B19B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£402</w:t>
            </w:r>
          </w:p>
        </w:tc>
        <w:tc>
          <w:tcPr>
            <w:tcW w:w="1559" w:type="dxa"/>
          </w:tcPr>
          <w:p w14:paraId="01B557E9" w14:textId="5C42E3B5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£436</w:t>
            </w:r>
          </w:p>
        </w:tc>
        <w:tc>
          <w:tcPr>
            <w:tcW w:w="1559" w:type="dxa"/>
          </w:tcPr>
          <w:p w14:paraId="24FA2D49" w14:textId="1A99FC47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£469</w:t>
            </w:r>
          </w:p>
        </w:tc>
        <w:tc>
          <w:tcPr>
            <w:tcW w:w="1560" w:type="dxa"/>
          </w:tcPr>
          <w:p w14:paraId="2CA8005F" w14:textId="7F044485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£670</w:t>
            </w:r>
          </w:p>
        </w:tc>
      </w:tr>
      <w:tr w:rsidR="002E6D38" w:rsidRPr="005271F6" w14:paraId="2AE24994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3BB7F4" w14:textId="2FC53BD5" w:rsidR="002E6D38" w:rsidRPr="005271F6" w:rsidRDefault="002E6D38" w:rsidP="002E6D3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5271F6"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1" w:type="dxa"/>
          </w:tcPr>
          <w:p w14:paraId="17B20D50" w14:textId="77777777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Enhanced listing</w:t>
            </w:r>
          </w:p>
          <w:p w14:paraId="460CCC01" w14:textId="374915C4" w:rsidR="002E6D38" w:rsidRPr="005271F6" w:rsidRDefault="005271F6" w:rsidP="002E6D38">
            <w:pPr>
              <w:rPr>
                <w:rFonts w:ascii="Arial" w:hAnsi="Arial" w:cs="Arial"/>
                <w:sz w:val="16"/>
                <w:szCs w:val="16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Nov 20 – Feb 21 edition</w:t>
            </w:r>
          </w:p>
        </w:tc>
        <w:tc>
          <w:tcPr>
            <w:tcW w:w="1559" w:type="dxa"/>
          </w:tcPr>
          <w:p w14:paraId="73FB1D53" w14:textId="18427D7C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£192</w:t>
            </w:r>
          </w:p>
        </w:tc>
        <w:tc>
          <w:tcPr>
            <w:tcW w:w="1559" w:type="dxa"/>
          </w:tcPr>
          <w:p w14:paraId="03A0E6A0" w14:textId="0334AA9E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£208</w:t>
            </w:r>
          </w:p>
        </w:tc>
        <w:tc>
          <w:tcPr>
            <w:tcW w:w="1559" w:type="dxa"/>
          </w:tcPr>
          <w:p w14:paraId="4EBC4A23" w14:textId="1A5E1318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£224</w:t>
            </w:r>
          </w:p>
        </w:tc>
        <w:tc>
          <w:tcPr>
            <w:tcW w:w="1560" w:type="dxa"/>
          </w:tcPr>
          <w:p w14:paraId="2874FB88" w14:textId="31FD81E3" w:rsidR="002E6D38" w:rsidRPr="005271F6" w:rsidRDefault="002E6D38" w:rsidP="002E6D38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£320</w:t>
            </w:r>
          </w:p>
        </w:tc>
      </w:tr>
      <w:tr w:rsidR="005271F6" w:rsidRPr="005271F6" w14:paraId="34010558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6A4C" w14:textId="11523E43" w:rsidR="005271F6" w:rsidRPr="005271F6" w:rsidRDefault="005271F6" w:rsidP="005271F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1" w:type="dxa"/>
          </w:tcPr>
          <w:p w14:paraId="05DA67FD" w14:textId="77777777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Back-page advert (A5)</w:t>
            </w:r>
          </w:p>
          <w:p w14:paraId="5A058D18" w14:textId="7A8C15BD" w:rsidR="005271F6" w:rsidRPr="005271F6" w:rsidRDefault="005271F6" w:rsidP="005271F6">
            <w:pPr>
              <w:rPr>
                <w:rFonts w:ascii="Arial" w:hAnsi="Arial" w:cs="Arial"/>
                <w:sz w:val="16"/>
                <w:szCs w:val="16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Mar 21 – Jun 21 edition</w:t>
            </w:r>
          </w:p>
        </w:tc>
        <w:tc>
          <w:tcPr>
            <w:tcW w:w="1559" w:type="dxa"/>
          </w:tcPr>
          <w:p w14:paraId="2202C75C" w14:textId="2F9D4C47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£1,350</w:t>
            </w:r>
          </w:p>
        </w:tc>
        <w:tc>
          <w:tcPr>
            <w:tcW w:w="1559" w:type="dxa"/>
          </w:tcPr>
          <w:p w14:paraId="5FA6CEA4" w14:textId="4083FAC3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£1,463</w:t>
            </w:r>
          </w:p>
        </w:tc>
        <w:tc>
          <w:tcPr>
            <w:tcW w:w="1559" w:type="dxa"/>
          </w:tcPr>
          <w:p w14:paraId="1D524897" w14:textId="2237E2CF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£1,575</w:t>
            </w:r>
          </w:p>
        </w:tc>
        <w:tc>
          <w:tcPr>
            <w:tcW w:w="1560" w:type="dxa"/>
          </w:tcPr>
          <w:p w14:paraId="78B7889E" w14:textId="5504DC1D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£2,250</w:t>
            </w:r>
          </w:p>
        </w:tc>
      </w:tr>
      <w:tr w:rsidR="005271F6" w:rsidRPr="005271F6" w14:paraId="40916509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6C2D5" w14:textId="1B2B43F8" w:rsidR="005271F6" w:rsidRPr="005271F6" w:rsidRDefault="005271F6" w:rsidP="005271F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1" w:type="dxa"/>
          </w:tcPr>
          <w:p w14:paraId="367D383A" w14:textId="77777777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A5 advert</w:t>
            </w:r>
          </w:p>
          <w:p w14:paraId="1DDD3242" w14:textId="671F4B5E" w:rsidR="005271F6" w:rsidRPr="005271F6" w:rsidRDefault="005271F6" w:rsidP="005271F6">
            <w:pPr>
              <w:rPr>
                <w:rFonts w:ascii="Arial" w:hAnsi="Arial" w:cs="Arial"/>
                <w:sz w:val="16"/>
                <w:szCs w:val="16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Mar 21 – Jun 21 edition</w:t>
            </w:r>
          </w:p>
        </w:tc>
        <w:tc>
          <w:tcPr>
            <w:tcW w:w="1559" w:type="dxa"/>
          </w:tcPr>
          <w:p w14:paraId="49DDCF64" w14:textId="2402FA88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£1,200</w:t>
            </w:r>
          </w:p>
        </w:tc>
        <w:tc>
          <w:tcPr>
            <w:tcW w:w="1559" w:type="dxa"/>
          </w:tcPr>
          <w:p w14:paraId="5D69F8C2" w14:textId="2151E995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£1,300</w:t>
            </w:r>
          </w:p>
        </w:tc>
        <w:tc>
          <w:tcPr>
            <w:tcW w:w="1559" w:type="dxa"/>
          </w:tcPr>
          <w:p w14:paraId="4579049E" w14:textId="5E7AB91E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£1,400</w:t>
            </w:r>
          </w:p>
        </w:tc>
        <w:tc>
          <w:tcPr>
            <w:tcW w:w="1560" w:type="dxa"/>
          </w:tcPr>
          <w:p w14:paraId="4EB2E894" w14:textId="251C9263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£2,000</w:t>
            </w:r>
          </w:p>
        </w:tc>
      </w:tr>
      <w:tr w:rsidR="005271F6" w:rsidRPr="005271F6" w14:paraId="000E1A48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DDD9FF" w14:textId="65DB3A56" w:rsidR="005271F6" w:rsidRPr="005271F6" w:rsidRDefault="005271F6" w:rsidP="005271F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1" w:type="dxa"/>
          </w:tcPr>
          <w:p w14:paraId="54289550" w14:textId="77777777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Strip advert</w:t>
            </w:r>
          </w:p>
          <w:p w14:paraId="6E00C94D" w14:textId="096E1AD3" w:rsidR="005271F6" w:rsidRPr="005271F6" w:rsidRDefault="005271F6" w:rsidP="005271F6">
            <w:pPr>
              <w:rPr>
                <w:rFonts w:ascii="Arial" w:hAnsi="Arial" w:cs="Arial"/>
                <w:sz w:val="16"/>
                <w:szCs w:val="16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Mar 21 – Jun 21 edition</w:t>
            </w:r>
          </w:p>
        </w:tc>
        <w:tc>
          <w:tcPr>
            <w:tcW w:w="1559" w:type="dxa"/>
          </w:tcPr>
          <w:p w14:paraId="2F377B9F" w14:textId="144E62C8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£402</w:t>
            </w:r>
          </w:p>
        </w:tc>
        <w:tc>
          <w:tcPr>
            <w:tcW w:w="1559" w:type="dxa"/>
          </w:tcPr>
          <w:p w14:paraId="7E8E44EB" w14:textId="3DA8F065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£436</w:t>
            </w:r>
          </w:p>
        </w:tc>
        <w:tc>
          <w:tcPr>
            <w:tcW w:w="1559" w:type="dxa"/>
          </w:tcPr>
          <w:p w14:paraId="32F6FA7C" w14:textId="4C85A63A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£469</w:t>
            </w:r>
          </w:p>
        </w:tc>
        <w:tc>
          <w:tcPr>
            <w:tcW w:w="1560" w:type="dxa"/>
          </w:tcPr>
          <w:p w14:paraId="47F43E7D" w14:textId="403B45F6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£670</w:t>
            </w:r>
          </w:p>
        </w:tc>
      </w:tr>
      <w:tr w:rsidR="005271F6" w:rsidRPr="005271F6" w14:paraId="7C0E7ECF" w14:textId="77777777" w:rsidTr="002E6D38">
        <w:trPr>
          <w:trHeight w:val="454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12D99B" w14:textId="2659ECC1" w:rsidR="005271F6" w:rsidRPr="005271F6" w:rsidRDefault="005271F6" w:rsidP="005271F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1" w:type="dxa"/>
          </w:tcPr>
          <w:p w14:paraId="06510225" w14:textId="77777777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Enhanced listing</w:t>
            </w:r>
          </w:p>
          <w:p w14:paraId="4632D18C" w14:textId="23D9A4B9" w:rsidR="005271F6" w:rsidRPr="005271F6" w:rsidRDefault="005271F6" w:rsidP="005271F6">
            <w:pPr>
              <w:rPr>
                <w:rFonts w:ascii="Arial" w:hAnsi="Arial" w:cs="Arial"/>
                <w:sz w:val="16"/>
                <w:szCs w:val="16"/>
              </w:rPr>
            </w:pPr>
            <w:r w:rsidRPr="005271F6">
              <w:rPr>
                <w:rFonts w:ascii="Arial" w:hAnsi="Arial" w:cs="Arial"/>
                <w:sz w:val="16"/>
                <w:szCs w:val="16"/>
              </w:rPr>
              <w:t>Mar 21 – Jun 21 edition</w:t>
            </w:r>
          </w:p>
        </w:tc>
        <w:tc>
          <w:tcPr>
            <w:tcW w:w="1559" w:type="dxa"/>
          </w:tcPr>
          <w:p w14:paraId="269DBEDA" w14:textId="6A52476F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£192</w:t>
            </w:r>
          </w:p>
        </w:tc>
        <w:tc>
          <w:tcPr>
            <w:tcW w:w="1559" w:type="dxa"/>
          </w:tcPr>
          <w:p w14:paraId="0CAF869E" w14:textId="718B62BC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£208</w:t>
            </w:r>
          </w:p>
        </w:tc>
        <w:tc>
          <w:tcPr>
            <w:tcW w:w="1559" w:type="dxa"/>
          </w:tcPr>
          <w:p w14:paraId="44CC1192" w14:textId="0B57B857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£224</w:t>
            </w:r>
          </w:p>
        </w:tc>
        <w:tc>
          <w:tcPr>
            <w:tcW w:w="1560" w:type="dxa"/>
          </w:tcPr>
          <w:p w14:paraId="63CAF464" w14:textId="3F47A6C4" w:rsidR="005271F6" w:rsidRPr="005271F6" w:rsidRDefault="005271F6" w:rsidP="005271F6">
            <w:pPr>
              <w:rPr>
                <w:rFonts w:ascii="Arial" w:hAnsi="Arial" w:cs="Arial"/>
                <w:sz w:val="20"/>
                <w:szCs w:val="20"/>
              </w:rPr>
            </w:pPr>
            <w:r w:rsidRPr="005271F6">
              <w:rPr>
                <w:rFonts w:ascii="Arial" w:hAnsi="Arial" w:cs="Arial"/>
                <w:sz w:val="20"/>
                <w:szCs w:val="20"/>
              </w:rPr>
              <w:t>£320</w:t>
            </w:r>
          </w:p>
        </w:tc>
      </w:tr>
    </w:tbl>
    <w:p w14:paraId="05CE3550" w14:textId="77777777" w:rsidR="00611F9C" w:rsidRPr="005271F6" w:rsidRDefault="00611F9C" w:rsidP="00611F9C">
      <w:pPr>
        <w:ind w:left="-993"/>
        <w:rPr>
          <w:rFonts w:ascii="Museo Sans Rounded 300" w:hAnsi="Museo Sans Rounded 300"/>
          <w:sz w:val="20"/>
          <w:szCs w:val="20"/>
        </w:rPr>
      </w:pPr>
    </w:p>
    <w:p w14:paraId="209934C4" w14:textId="7383F2B1" w:rsidR="00611F9C" w:rsidRPr="005271F6" w:rsidRDefault="00611F9C" w:rsidP="00611F9C">
      <w:pPr>
        <w:ind w:left="-993"/>
        <w:rPr>
          <w:rFonts w:ascii="Arial" w:hAnsi="Arial" w:cs="Arial"/>
          <w:b/>
          <w:bCs/>
          <w:sz w:val="20"/>
          <w:szCs w:val="20"/>
        </w:rPr>
      </w:pPr>
      <w:r w:rsidRPr="005271F6">
        <w:rPr>
          <w:rFonts w:ascii="Arial" w:hAnsi="Arial" w:cs="Arial"/>
          <w:b/>
          <w:bCs/>
          <w:color w:val="00B050"/>
          <w:sz w:val="20"/>
          <w:szCs w:val="20"/>
        </w:rPr>
        <w:t xml:space="preserve">5% discount available for anyone booking advertising in </w:t>
      </w:r>
      <w:r w:rsidR="005271F6" w:rsidRPr="005271F6">
        <w:rPr>
          <w:rFonts w:ascii="Arial" w:hAnsi="Arial" w:cs="Arial"/>
          <w:b/>
          <w:bCs/>
          <w:color w:val="00B050"/>
          <w:sz w:val="20"/>
          <w:szCs w:val="20"/>
        </w:rPr>
        <w:t>more than one</w:t>
      </w:r>
      <w:r w:rsidRPr="005271F6">
        <w:rPr>
          <w:rFonts w:ascii="Arial" w:hAnsi="Arial" w:cs="Arial"/>
          <w:b/>
          <w:bCs/>
          <w:color w:val="00B050"/>
          <w:sz w:val="20"/>
          <w:szCs w:val="20"/>
        </w:rPr>
        <w:t xml:space="preserve"> edition.</w:t>
      </w:r>
    </w:p>
    <w:p w14:paraId="76CB32E1" w14:textId="5E7C7CFF" w:rsidR="00CC1961" w:rsidRPr="005271F6" w:rsidRDefault="00611F9C" w:rsidP="003A0D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1" w:right="-1658"/>
        <w:rPr>
          <w:rFonts w:ascii="Arial" w:hAnsi="Arial"/>
          <w:bCs/>
          <w:sz w:val="20"/>
          <w:szCs w:val="20"/>
          <w:lang w:val="en-US"/>
        </w:rPr>
      </w:pPr>
      <w:r w:rsidRPr="005271F6">
        <w:rPr>
          <w:rFonts w:ascii="Arial" w:hAnsi="Arial"/>
          <w:bCs/>
          <w:sz w:val="20"/>
          <w:szCs w:val="20"/>
          <w:lang w:val="en-US"/>
        </w:rPr>
        <w:t xml:space="preserve"> </w:t>
      </w:r>
    </w:p>
    <w:p w14:paraId="6C6BE1B7" w14:textId="55A25493" w:rsidR="00465012" w:rsidRPr="005271F6" w:rsidRDefault="00182C6D" w:rsidP="000542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658"/>
        <w:rPr>
          <w:rFonts w:ascii="Arial" w:hAnsi="Arial"/>
          <w:b/>
          <w:sz w:val="20"/>
          <w:szCs w:val="20"/>
          <w:lang w:val="en-US"/>
        </w:rPr>
      </w:pPr>
      <w:r w:rsidRPr="005271F6">
        <w:rPr>
          <w:rFonts w:ascii="Arial" w:hAnsi="Arial"/>
          <w:b/>
          <w:sz w:val="20"/>
          <w:szCs w:val="20"/>
          <w:lang w:val="en-US"/>
        </w:rPr>
        <w:t>Terms and conditions</w:t>
      </w:r>
      <w:r w:rsidR="00A06B9B" w:rsidRPr="005271F6">
        <w:rPr>
          <w:rFonts w:ascii="Arial" w:hAnsi="Arial"/>
          <w:b/>
          <w:sz w:val="20"/>
          <w:szCs w:val="20"/>
          <w:lang w:val="en-US"/>
        </w:rPr>
        <w:t>:</w:t>
      </w:r>
    </w:p>
    <w:p w14:paraId="01BF23B1" w14:textId="77777777" w:rsidR="002722CF" w:rsidRPr="005271F6" w:rsidRDefault="002722CF" w:rsidP="003A0D07">
      <w:pPr>
        <w:pStyle w:val="ListParagraph"/>
        <w:widowControl w:val="0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" w:right="-1658"/>
        <w:contextualSpacing w:val="0"/>
        <w:rPr>
          <w:rFonts w:ascii="Arial" w:hAnsi="Arial"/>
          <w:sz w:val="20"/>
          <w:szCs w:val="20"/>
          <w:lang w:val="en-US"/>
        </w:rPr>
      </w:pPr>
    </w:p>
    <w:p w14:paraId="1CC8FAAB" w14:textId="77777777" w:rsidR="00CB397E" w:rsidRPr="005271F6" w:rsidRDefault="00CB397E" w:rsidP="00054206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right="-1233" w:hanging="426"/>
        <w:contextualSpacing w:val="0"/>
        <w:rPr>
          <w:rFonts w:ascii="Arial" w:hAnsi="Arial"/>
          <w:sz w:val="20"/>
          <w:szCs w:val="20"/>
          <w:lang w:val="en-US"/>
        </w:rPr>
      </w:pPr>
      <w:r w:rsidRPr="005271F6">
        <w:rPr>
          <w:rFonts w:ascii="Arial" w:hAnsi="Arial"/>
          <w:sz w:val="20"/>
          <w:szCs w:val="20"/>
          <w:lang w:val="en-US"/>
        </w:rPr>
        <w:t xml:space="preserve">All bookings are accepted subject to </w:t>
      </w:r>
      <w:r w:rsidR="00A419E6" w:rsidRPr="005271F6">
        <w:rPr>
          <w:rFonts w:ascii="Arial" w:hAnsi="Arial"/>
          <w:sz w:val="20"/>
          <w:szCs w:val="20"/>
          <w:lang w:val="en-US"/>
        </w:rPr>
        <w:t xml:space="preserve">availability and </w:t>
      </w:r>
      <w:r w:rsidRPr="005271F6">
        <w:rPr>
          <w:rFonts w:ascii="Arial" w:hAnsi="Arial"/>
          <w:sz w:val="20"/>
          <w:szCs w:val="20"/>
          <w:lang w:val="en-US"/>
        </w:rPr>
        <w:t xml:space="preserve">approval. NewcastleGateshead Initiative reserves the right to cancel or refuse to accept any bookings, in full or in part, without giving an explanation. </w:t>
      </w:r>
    </w:p>
    <w:p w14:paraId="654542E5" w14:textId="77777777" w:rsidR="00CB397E" w:rsidRPr="005271F6" w:rsidRDefault="00CB397E" w:rsidP="00054206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right="-1233" w:hanging="426"/>
        <w:contextualSpacing w:val="0"/>
        <w:rPr>
          <w:rFonts w:ascii="Arial" w:hAnsi="Arial"/>
          <w:sz w:val="20"/>
          <w:szCs w:val="20"/>
          <w:lang w:val="en-US"/>
        </w:rPr>
      </w:pPr>
      <w:r w:rsidRPr="005271F6">
        <w:rPr>
          <w:rFonts w:ascii="Arial" w:hAnsi="Arial"/>
          <w:sz w:val="20"/>
          <w:szCs w:val="20"/>
          <w:lang w:val="en-US"/>
        </w:rPr>
        <w:t xml:space="preserve">Once signed, it is not possible to cancel the contract without full agreement in writing from NewcastleGateshead Initiative. </w:t>
      </w:r>
    </w:p>
    <w:p w14:paraId="2D2434B1" w14:textId="77777777" w:rsidR="00465012" w:rsidRPr="005271F6" w:rsidRDefault="00182C6D" w:rsidP="00054206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right="-1233" w:hanging="426"/>
        <w:contextualSpacing w:val="0"/>
        <w:rPr>
          <w:rFonts w:ascii="Arial" w:hAnsi="Arial"/>
          <w:sz w:val="20"/>
          <w:szCs w:val="20"/>
          <w:lang w:val="en-US"/>
        </w:rPr>
      </w:pPr>
      <w:r w:rsidRPr="005271F6">
        <w:rPr>
          <w:rFonts w:ascii="Arial" w:hAnsi="Arial"/>
          <w:sz w:val="20"/>
          <w:szCs w:val="20"/>
          <w:lang w:val="en-US"/>
        </w:rPr>
        <w:t>All bookings are subject to a 50% cancellation charge unless cancelled within 48</w:t>
      </w:r>
      <w:r w:rsidR="00885570" w:rsidRPr="005271F6">
        <w:rPr>
          <w:rFonts w:ascii="Arial" w:hAnsi="Arial"/>
          <w:sz w:val="20"/>
          <w:szCs w:val="20"/>
          <w:lang w:val="en-US"/>
        </w:rPr>
        <w:t xml:space="preserve"> hrs</w:t>
      </w:r>
      <w:r w:rsidRPr="005271F6">
        <w:rPr>
          <w:rFonts w:ascii="Arial" w:hAnsi="Arial"/>
          <w:sz w:val="20"/>
          <w:szCs w:val="20"/>
          <w:lang w:val="en-US"/>
        </w:rPr>
        <w:t>.</w:t>
      </w:r>
    </w:p>
    <w:p w14:paraId="61063A8C" w14:textId="77777777" w:rsidR="00CB397E" w:rsidRPr="005271F6" w:rsidRDefault="00CB397E" w:rsidP="00054206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right="-1233" w:hanging="426"/>
        <w:contextualSpacing w:val="0"/>
        <w:rPr>
          <w:rFonts w:ascii="Arial" w:hAnsi="Arial"/>
          <w:sz w:val="20"/>
          <w:szCs w:val="20"/>
          <w:lang w:val="en-US"/>
        </w:rPr>
      </w:pPr>
      <w:r w:rsidRPr="005271F6">
        <w:rPr>
          <w:rFonts w:ascii="Arial" w:hAnsi="Arial"/>
          <w:sz w:val="20"/>
          <w:szCs w:val="20"/>
          <w:lang w:val="en-US"/>
        </w:rPr>
        <w:t>All rates are exclusive of VAT which will be payable at the prevailing rate.</w:t>
      </w:r>
    </w:p>
    <w:p w14:paraId="4700FB4E" w14:textId="77777777" w:rsidR="00182C6D" w:rsidRPr="005271F6" w:rsidRDefault="00182C6D" w:rsidP="00054206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right="-1233" w:hanging="426"/>
        <w:contextualSpacing w:val="0"/>
        <w:rPr>
          <w:rFonts w:ascii="Arial" w:hAnsi="Arial"/>
          <w:sz w:val="20"/>
          <w:szCs w:val="20"/>
          <w:lang w:val="en-US"/>
        </w:rPr>
      </w:pPr>
      <w:r w:rsidRPr="005271F6">
        <w:rPr>
          <w:rFonts w:ascii="Arial" w:hAnsi="Arial"/>
          <w:sz w:val="20"/>
          <w:szCs w:val="20"/>
          <w:lang w:val="en-US"/>
        </w:rPr>
        <w:t xml:space="preserve">Payment is due within 28 days from the date of invoice. </w:t>
      </w:r>
    </w:p>
    <w:p w14:paraId="0BB5AF23" w14:textId="7E845559" w:rsidR="002E6D38" w:rsidRPr="005271F6" w:rsidRDefault="00182C6D" w:rsidP="00054206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right="-1233" w:hanging="426"/>
        <w:contextualSpacing w:val="0"/>
        <w:rPr>
          <w:rFonts w:ascii="Arial" w:hAnsi="Arial"/>
          <w:sz w:val="20"/>
          <w:szCs w:val="20"/>
          <w:lang w:val="en-US"/>
        </w:rPr>
      </w:pPr>
      <w:r w:rsidRPr="005271F6">
        <w:rPr>
          <w:rFonts w:ascii="Arial" w:hAnsi="Arial"/>
          <w:sz w:val="20"/>
          <w:szCs w:val="20"/>
          <w:lang w:val="en-US"/>
        </w:rPr>
        <w:t>These conditions shall be governed and construed in accordance with the Laws of England.</w:t>
      </w:r>
    </w:p>
    <w:p w14:paraId="01F0BCDC" w14:textId="2FCE6129" w:rsidR="00CB397E" w:rsidRPr="005271F6" w:rsidRDefault="006C1292" w:rsidP="002E6D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658"/>
        <w:rPr>
          <w:rFonts w:ascii="Arial" w:hAnsi="Arial"/>
          <w:sz w:val="20"/>
          <w:szCs w:val="20"/>
          <w:lang w:val="en-US"/>
        </w:rPr>
      </w:pPr>
      <w:r w:rsidRPr="005271F6">
        <w:rPr>
          <w:rFonts w:ascii="Arial" w:hAnsi="Arial"/>
          <w:sz w:val="20"/>
          <w:szCs w:val="20"/>
          <w:lang w:val="en-US"/>
        </w:rPr>
        <w:t xml:space="preserve"> </w:t>
      </w:r>
    </w:p>
    <w:tbl>
      <w:tblPr>
        <w:tblW w:w="9640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229"/>
      </w:tblGrid>
      <w:tr w:rsidR="00CB397E" w:rsidRPr="005271F6" w14:paraId="0CA48133" w14:textId="77777777" w:rsidTr="005271F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8A0650" w14:textId="77777777" w:rsidR="00CB397E" w:rsidRPr="005271F6" w:rsidRDefault="00CB397E" w:rsidP="003A0D07">
            <w:pPr>
              <w:spacing w:before="60" w:after="60"/>
              <w:ind w:right="-165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71F6">
              <w:rPr>
                <w:rFonts w:ascii="Arial" w:hAnsi="Arial"/>
                <w:b/>
                <w:sz w:val="20"/>
                <w:szCs w:val="20"/>
                <w:lang w:val="en-US"/>
              </w:rPr>
              <w:t>Name: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DBFE" w14:textId="77777777" w:rsidR="00CB397E" w:rsidRPr="005271F6" w:rsidRDefault="006B6CCA" w:rsidP="003A0D07">
            <w:pPr>
              <w:spacing w:before="60" w:after="60"/>
              <w:ind w:right="-165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B397E"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2722CF" w:rsidRPr="005271F6" w14:paraId="2D572555" w14:textId="77777777" w:rsidTr="005271F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FD353B" w14:textId="77777777" w:rsidR="002722CF" w:rsidRPr="005271F6" w:rsidRDefault="002722CF" w:rsidP="003A0D07">
            <w:pPr>
              <w:spacing w:before="60" w:after="60"/>
              <w:ind w:right="-1658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5271F6">
              <w:rPr>
                <w:rFonts w:ascii="Arial" w:hAnsi="Arial"/>
                <w:b/>
                <w:sz w:val="20"/>
                <w:szCs w:val="20"/>
                <w:lang w:val="en-US"/>
              </w:rPr>
              <w:t>Position: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8A6" w14:textId="77777777" w:rsidR="002722CF" w:rsidRPr="005271F6" w:rsidRDefault="006B6CCA" w:rsidP="003A0D07">
            <w:pPr>
              <w:spacing w:before="60" w:after="60"/>
              <w:ind w:right="-165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22CF"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2722CF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722CF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722CF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722CF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722CF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CB397E" w:rsidRPr="005271F6" w14:paraId="34938BA7" w14:textId="77777777" w:rsidTr="005271F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FFD3B" w14:textId="77777777" w:rsidR="00CB397E" w:rsidRPr="005271F6" w:rsidRDefault="00CB397E" w:rsidP="003A0D07">
            <w:pPr>
              <w:spacing w:before="60" w:after="60"/>
              <w:ind w:right="-165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71F6">
              <w:rPr>
                <w:rFonts w:ascii="Arial" w:hAnsi="Arial"/>
                <w:b/>
                <w:sz w:val="20"/>
                <w:szCs w:val="20"/>
                <w:lang w:val="en-US"/>
              </w:rPr>
              <w:t>Organisation:</w:t>
            </w:r>
            <w:r w:rsidRPr="005271F6">
              <w:rPr>
                <w:rFonts w:ascii="Arial" w:hAnsi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819F" w14:textId="77777777" w:rsidR="00CB397E" w:rsidRPr="005271F6" w:rsidRDefault="006B6CCA" w:rsidP="003A0D07">
            <w:pPr>
              <w:spacing w:before="60" w:after="60"/>
              <w:ind w:right="-165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397E"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CB397E" w:rsidRPr="005271F6" w14:paraId="02E29FE2" w14:textId="77777777" w:rsidTr="005271F6">
        <w:trPr>
          <w:trHeight w:val="397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615CD0" w14:textId="77777777" w:rsidR="00CB397E" w:rsidRPr="005271F6" w:rsidRDefault="00CB397E" w:rsidP="003A0D07">
            <w:pPr>
              <w:spacing w:before="60" w:after="60"/>
              <w:ind w:right="-1658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5271F6">
              <w:rPr>
                <w:rFonts w:ascii="Arial" w:hAnsi="Arial"/>
                <w:b/>
                <w:sz w:val="20"/>
                <w:szCs w:val="20"/>
                <w:lang w:val="en-US"/>
              </w:rPr>
              <w:t>Email address: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548F" w14:textId="77777777" w:rsidR="00CB397E" w:rsidRPr="005271F6" w:rsidRDefault="006B6CCA" w:rsidP="003A0D07">
            <w:pPr>
              <w:spacing w:before="60" w:after="60"/>
              <w:ind w:right="-165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397E"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bookmarkStart w:id="2" w:name="_GoBack"/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CB397E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bookmarkEnd w:id="2"/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B1C61D7" w14:textId="77777777" w:rsidR="00885570" w:rsidRPr="005271F6" w:rsidRDefault="00885570" w:rsidP="003A0D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1" w:right="-1658"/>
        <w:rPr>
          <w:rFonts w:ascii="Arial" w:hAnsi="Arial"/>
          <w:sz w:val="20"/>
          <w:szCs w:val="20"/>
          <w:lang w:val="en-US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851"/>
        <w:gridCol w:w="2268"/>
      </w:tblGrid>
      <w:tr w:rsidR="003A0D07" w:rsidRPr="005271F6" w14:paraId="1A981146" w14:textId="77777777" w:rsidTr="0036111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580C" w14:textId="77777777" w:rsidR="003A0D07" w:rsidRPr="005271F6" w:rsidRDefault="003A0D07" w:rsidP="002C420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71F6">
              <w:rPr>
                <w:rFonts w:ascii="Arial" w:hAnsi="Arial"/>
                <w:b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894E7" w14:textId="77777777" w:rsidR="003A0D07" w:rsidRPr="005271F6" w:rsidRDefault="003A0D07" w:rsidP="002C420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56C3C" w14:textId="77777777" w:rsidR="003A0D07" w:rsidRPr="005271F6" w:rsidRDefault="003A0D07" w:rsidP="002C420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61F9F" w14:textId="77777777" w:rsidR="003A0D07" w:rsidRPr="005271F6" w:rsidRDefault="003A0D07" w:rsidP="002C420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0D07" w:rsidRPr="005271F6" w14:paraId="3403D704" w14:textId="77777777" w:rsidTr="00361119">
        <w:trPr>
          <w:trHeight w:val="562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B5D3B" w14:textId="77777777" w:rsidR="003A0D07" w:rsidRPr="005271F6" w:rsidRDefault="003A0D07" w:rsidP="002C4209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71F6">
              <w:rPr>
                <w:rFonts w:ascii="Arial" w:hAnsi="Arial"/>
                <w:b/>
                <w:sz w:val="20"/>
                <w:szCs w:val="20"/>
                <w:lang w:val="en-US"/>
              </w:rPr>
              <w:t>Purchase order number (if required):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4801E" w14:textId="77777777" w:rsidR="003A0D07" w:rsidRPr="005271F6" w:rsidRDefault="006B6CCA" w:rsidP="002C420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0D07" w:rsidRPr="005271F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A0D07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0D07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0D07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0D07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A0D07" w:rsidRPr="005271F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5271F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25C7F4F" w14:textId="77777777" w:rsidR="00885570" w:rsidRPr="005271F6" w:rsidRDefault="00885570" w:rsidP="003A0D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1" w:right="-1658"/>
        <w:rPr>
          <w:rFonts w:ascii="Arial" w:hAnsi="Arial"/>
          <w:b/>
          <w:sz w:val="20"/>
          <w:szCs w:val="20"/>
          <w:lang w:val="en-US"/>
        </w:rPr>
      </w:pPr>
    </w:p>
    <w:p w14:paraId="0959BB57" w14:textId="1F0C8E48" w:rsidR="00487278" w:rsidRPr="005271F6" w:rsidRDefault="00885570" w:rsidP="000542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517"/>
        <w:rPr>
          <w:rFonts w:ascii="Arial" w:hAnsi="Arial"/>
          <w:b/>
          <w:sz w:val="20"/>
          <w:szCs w:val="20"/>
          <w:lang w:val="en-US"/>
        </w:rPr>
      </w:pPr>
      <w:bookmarkStart w:id="3" w:name="_Hlk18602455"/>
      <w:r w:rsidRPr="00EB2D1D">
        <w:rPr>
          <w:rFonts w:ascii="Arial" w:hAnsi="Arial"/>
          <w:bCs/>
          <w:sz w:val="20"/>
          <w:szCs w:val="20"/>
          <w:lang w:val="en-US"/>
        </w:rPr>
        <w:t>Please compl</w:t>
      </w:r>
      <w:r w:rsidR="003A0D07" w:rsidRPr="00EB2D1D">
        <w:rPr>
          <w:rFonts w:ascii="Arial" w:hAnsi="Arial"/>
          <w:bCs/>
          <w:sz w:val="20"/>
          <w:szCs w:val="20"/>
          <w:lang w:val="en-US"/>
        </w:rPr>
        <w:t>ete and return this form to</w:t>
      </w:r>
      <w:r w:rsidR="00487278" w:rsidRPr="005271F6">
        <w:rPr>
          <w:rFonts w:ascii="Arial" w:hAnsi="Arial"/>
          <w:b/>
          <w:sz w:val="20"/>
          <w:szCs w:val="20"/>
          <w:lang w:val="en-US"/>
        </w:rPr>
        <w:t xml:space="preserve"> </w:t>
      </w:r>
      <w:hyperlink r:id="rId8" w:history="1">
        <w:r w:rsidR="00487278" w:rsidRPr="005271F6">
          <w:rPr>
            <w:rStyle w:val="Hyperlink"/>
            <w:rFonts w:ascii="Arial" w:hAnsi="Arial"/>
            <w:b/>
            <w:sz w:val="20"/>
            <w:szCs w:val="20"/>
            <w:lang w:val="en-US"/>
          </w:rPr>
          <w:t>shelley.johnson@ngi.org.uk</w:t>
        </w:r>
      </w:hyperlink>
      <w:bookmarkEnd w:id="3"/>
    </w:p>
    <w:sectPr w:rsidR="00487278" w:rsidRPr="005271F6" w:rsidSect="005271F6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843" w:right="2118" w:bottom="1134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34D84" w14:textId="77777777" w:rsidR="005271F6" w:rsidRDefault="005271F6">
      <w:r>
        <w:separator/>
      </w:r>
    </w:p>
  </w:endnote>
  <w:endnote w:type="continuationSeparator" w:id="0">
    <w:p w14:paraId="74B9875C" w14:textId="77777777" w:rsidR="005271F6" w:rsidRDefault="0052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C47AD" w14:textId="77777777" w:rsidR="005271F6" w:rsidRDefault="005271F6">
    <w:pPr>
      <w:pStyle w:val="Foot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564D5A75" wp14:editId="70942B32">
          <wp:simplePos x="0" y="0"/>
          <wp:positionH relativeFrom="page">
            <wp:posOffset>0</wp:posOffset>
          </wp:positionH>
          <wp:positionV relativeFrom="paragraph">
            <wp:posOffset>-478790</wp:posOffset>
          </wp:positionV>
          <wp:extent cx="7542000" cy="1076400"/>
          <wp:effectExtent l="0" t="0" r="190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651B" w14:textId="77777777" w:rsidR="005271F6" w:rsidRDefault="005271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B6CCF1D" wp14:editId="685233D8">
          <wp:simplePos x="0" y="0"/>
          <wp:positionH relativeFrom="column">
            <wp:posOffset>-1153795</wp:posOffset>
          </wp:positionH>
          <wp:positionV relativeFrom="paragraph">
            <wp:posOffset>-295910</wp:posOffset>
          </wp:positionV>
          <wp:extent cx="7600950" cy="904875"/>
          <wp:effectExtent l="19050" t="0" r="0" b="0"/>
          <wp:wrapNone/>
          <wp:docPr id="4" name="Picture 4" descr="8640 NGI Letterhead-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8640 NGI Letterhead-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0933" b="644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73201" w14:textId="77777777" w:rsidR="005271F6" w:rsidRDefault="005271F6">
      <w:r>
        <w:separator/>
      </w:r>
    </w:p>
  </w:footnote>
  <w:footnote w:type="continuationSeparator" w:id="0">
    <w:p w14:paraId="0B2F220B" w14:textId="77777777" w:rsidR="005271F6" w:rsidRDefault="0052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A7BD8" w14:textId="77777777" w:rsidR="005271F6" w:rsidRDefault="005271F6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7A78C6F2" wp14:editId="06751FB0">
          <wp:simplePos x="0" y="0"/>
          <wp:positionH relativeFrom="page">
            <wp:align>left</wp:align>
          </wp:positionH>
          <wp:positionV relativeFrom="page">
            <wp:posOffset>122555</wp:posOffset>
          </wp:positionV>
          <wp:extent cx="7542000" cy="1076400"/>
          <wp:effectExtent l="0" t="0" r="190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B282D" w14:textId="77777777" w:rsidR="005271F6" w:rsidRDefault="005271F6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F49FE31" wp14:editId="54A9A6B2">
          <wp:simplePos x="0" y="0"/>
          <wp:positionH relativeFrom="page">
            <wp:posOffset>0</wp:posOffset>
          </wp:positionH>
          <wp:positionV relativeFrom="page">
            <wp:posOffset>122555</wp:posOffset>
          </wp:positionV>
          <wp:extent cx="7542000" cy="1076400"/>
          <wp:effectExtent l="0" t="0" r="190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5AD9"/>
    <w:multiLevelType w:val="hybridMultilevel"/>
    <w:tmpl w:val="F7BA3D38"/>
    <w:lvl w:ilvl="0" w:tplc="0809000F">
      <w:start w:val="1"/>
      <w:numFmt w:val="decimal"/>
      <w:lvlText w:val="%1.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7187A98"/>
    <w:multiLevelType w:val="hybridMultilevel"/>
    <w:tmpl w:val="ED1A8FC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172E8F"/>
    <w:multiLevelType w:val="multilevel"/>
    <w:tmpl w:val="077EE4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75D5402D"/>
    <w:multiLevelType w:val="hybridMultilevel"/>
    <w:tmpl w:val="3B66348E"/>
    <w:lvl w:ilvl="0" w:tplc="54C0D920">
      <w:start w:val="1"/>
      <w:numFmt w:val="decimal"/>
      <w:lvlText w:val="%1."/>
      <w:lvlJc w:val="left"/>
      <w:pPr>
        <w:ind w:left="559" w:hanging="14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79273039"/>
    <w:multiLevelType w:val="hybridMultilevel"/>
    <w:tmpl w:val="BA1AEDFC"/>
    <w:lvl w:ilvl="0" w:tplc="B06A5D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37"/>
    <w:rsid w:val="00044060"/>
    <w:rsid w:val="000508EF"/>
    <w:rsid w:val="00054206"/>
    <w:rsid w:val="00060837"/>
    <w:rsid w:val="000A0CD4"/>
    <w:rsid w:val="000B5353"/>
    <w:rsid w:val="0013654C"/>
    <w:rsid w:val="00182C6D"/>
    <w:rsid w:val="00235F7B"/>
    <w:rsid w:val="00262AF2"/>
    <w:rsid w:val="002722CF"/>
    <w:rsid w:val="00283808"/>
    <w:rsid w:val="002B5D2B"/>
    <w:rsid w:val="002C2C3A"/>
    <w:rsid w:val="002C4209"/>
    <w:rsid w:val="002E6D38"/>
    <w:rsid w:val="003275D5"/>
    <w:rsid w:val="00361119"/>
    <w:rsid w:val="0036638F"/>
    <w:rsid w:val="003A0D07"/>
    <w:rsid w:val="003A2465"/>
    <w:rsid w:val="003D4886"/>
    <w:rsid w:val="003F3606"/>
    <w:rsid w:val="00465012"/>
    <w:rsid w:val="00487278"/>
    <w:rsid w:val="004A0F78"/>
    <w:rsid w:val="004A5C58"/>
    <w:rsid w:val="004D60D7"/>
    <w:rsid w:val="005040E0"/>
    <w:rsid w:val="005271F6"/>
    <w:rsid w:val="00537BFC"/>
    <w:rsid w:val="0055238C"/>
    <w:rsid w:val="0056194E"/>
    <w:rsid w:val="005A39F8"/>
    <w:rsid w:val="005C25B2"/>
    <w:rsid w:val="00611F9C"/>
    <w:rsid w:val="00633CC7"/>
    <w:rsid w:val="0067162A"/>
    <w:rsid w:val="006B6CCA"/>
    <w:rsid w:val="006C1292"/>
    <w:rsid w:val="006C577A"/>
    <w:rsid w:val="006D40BA"/>
    <w:rsid w:val="00720F95"/>
    <w:rsid w:val="00733B16"/>
    <w:rsid w:val="00772A89"/>
    <w:rsid w:val="007A6B85"/>
    <w:rsid w:val="007F124F"/>
    <w:rsid w:val="008375DF"/>
    <w:rsid w:val="00885570"/>
    <w:rsid w:val="00993D9C"/>
    <w:rsid w:val="009B50C7"/>
    <w:rsid w:val="009B6DB6"/>
    <w:rsid w:val="009C25FF"/>
    <w:rsid w:val="009C702C"/>
    <w:rsid w:val="009D3AF2"/>
    <w:rsid w:val="009E0BC0"/>
    <w:rsid w:val="009E2D23"/>
    <w:rsid w:val="009E35A1"/>
    <w:rsid w:val="00A06B9B"/>
    <w:rsid w:val="00A419E6"/>
    <w:rsid w:val="00A46438"/>
    <w:rsid w:val="00A73DEF"/>
    <w:rsid w:val="00AA0FC1"/>
    <w:rsid w:val="00AD0B68"/>
    <w:rsid w:val="00AE4C78"/>
    <w:rsid w:val="00B2222C"/>
    <w:rsid w:val="00B30E4F"/>
    <w:rsid w:val="00B72600"/>
    <w:rsid w:val="00C31884"/>
    <w:rsid w:val="00C43652"/>
    <w:rsid w:val="00C87D37"/>
    <w:rsid w:val="00CB397E"/>
    <w:rsid w:val="00CC1961"/>
    <w:rsid w:val="00CD147F"/>
    <w:rsid w:val="00D1295F"/>
    <w:rsid w:val="00D60588"/>
    <w:rsid w:val="00D84211"/>
    <w:rsid w:val="00E320A9"/>
    <w:rsid w:val="00E957C5"/>
    <w:rsid w:val="00EB2D1D"/>
    <w:rsid w:val="00EE03CF"/>
    <w:rsid w:val="00F2569C"/>
    <w:rsid w:val="00F63CC8"/>
    <w:rsid w:val="00F731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oNotEmbedSmartTags/>
  <w:decimalSymbol w:val="."/>
  <w:listSeparator w:val=","/>
  <w14:docId w14:val="5A2E9B85"/>
  <w15:docId w15:val="{88FFA747-6755-4025-8B58-75E52DF9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5B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33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033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44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06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E2D23"/>
    <w:pPr>
      <w:ind w:left="720"/>
      <w:contextualSpacing/>
    </w:pPr>
  </w:style>
  <w:style w:type="character" w:styleId="Hyperlink">
    <w:name w:val="Hyperlink"/>
    <w:basedOn w:val="DefaultParagraphFont"/>
    <w:rsid w:val="003A0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ey.johnson@ngi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3820-D073-4B21-AC90-2E7900F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11945062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Berghaus Ltd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sjohnson</dc:creator>
  <cp:keywords/>
  <cp:lastModifiedBy>Shelley Johnson</cp:lastModifiedBy>
  <cp:revision>3</cp:revision>
  <cp:lastPrinted>2018-01-10T17:14:00Z</cp:lastPrinted>
  <dcterms:created xsi:type="dcterms:W3CDTF">2020-02-21T17:11:00Z</dcterms:created>
  <dcterms:modified xsi:type="dcterms:W3CDTF">2020-02-21T17:11:00Z</dcterms:modified>
</cp:coreProperties>
</file>